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media/rId20.png" ContentType="image/png"/>
  <Override PartName="/word/media/rId24.png" ContentType="image/png"/>
  <Override PartName="/word/media/rId28.png" ContentType="image/png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Titre"/>
      </w:pPr>
      <w:r>
        <w:t xml:space="preserve">09</w:t>
      </w:r>
      <w:r>
        <w:t xml:space="preserve"> </w:t>
      </w:r>
      <w:r>
        <w:t xml:space="preserve">·</w:t>
      </w:r>
      <w:r>
        <w:t xml:space="preserve"> </w:t>
      </w:r>
      <w:r>
        <w:t xml:space="preserve">Angmar</w:t>
      </w:r>
      <w:r>
        <w:t xml:space="preserve"> </w:t>
      </w:r>
      <w:r>
        <w:t xml:space="preserve">à</w:t>
      </w:r>
      <w:r>
        <w:t xml:space="preserve"> </w:t>
      </w:r>
      <w:r>
        <w:t xml:space="preserve">d'Autres</w:t>
      </w:r>
      <w:r>
        <w:t xml:space="preserve"> </w:t>
      </w:r>
      <w:r>
        <w:t xml:space="preserve">Epoques</w:t>
      </w:r>
    </w:p>
    <w:bookmarkStart w:id="32" w:name="angmar-à-dautres-époques"/>
    <w:p>
      <w:pPr>
        <w:pStyle w:val="Titre1"/>
      </w:pPr>
      <w:r>
        <w:t xml:space="preserve">09 · Angmar à d’autres époques</w:t>
      </w:r>
    </w:p>
    <w:bookmarkStart w:id="23" w:name="au-début-du-troisième-âge"/>
    <w:p>
      <w:pPr>
        <w:pStyle w:val="Titre2"/>
      </w:pPr>
      <w:r>
        <w:t xml:space="preserve">9.1 Au début du Troisième Âge</w:t>
      </w:r>
    </w:p>
    <w:p>
      <w:pPr>
        <w:pStyle w:val="FirstParagraph"/>
      </w:pPr>
      <w:r>
        <w:t xml:space="preserve">(cf. carte VIII)</w:t>
      </w:r>
    </w:p>
    <w:p>
      <w:pPr>
        <w:pStyle w:val="Figure"/>
      </w:pPr>
      <w:r>
        <w:drawing>
          <wp:inline>
            <wp:extent cx="5943600" cy="2425372"/>
            <wp:effectExtent b="0" l="0" r="0" t="0"/>
            <wp:docPr descr="" title="" id="21" name="Picture"/>
            <a:graphic>
              <a:graphicData uri="http://schemas.openxmlformats.org/drawingml/2006/picture">
                <pic:pic>
                  <pic:nvPicPr>
                    <pic:cNvPr descr="images/page-52-1.png" id="22" name="Picture"/>
                    <pic:cNvPicPr>
                      <a:picLocks noChangeArrowheads="1"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425372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FirstParagraph"/>
      </w:pPr>
      <w:r>
        <w:t xml:space="preserve">La région d’Angmar et le territoire avoisinant au début du Troisième</w:t>
      </w:r>
      <w:r>
        <w:t xml:space="preserve"> </w:t>
      </w:r>
      <w:r>
        <w:t xml:space="preserve">Age présentent peu d’intérêt à un aventurier. Aucune des forteresses</w:t>
      </w:r>
      <w:r>
        <w:t xml:space="preserve"> </w:t>
      </w:r>
      <w:r>
        <w:t xml:space="preserve">principales du Roi-Sorcier n’existent déjà, et les montagnes sont plutôt</w:t>
      </w:r>
      <w:r>
        <w:t xml:space="preserve"> </w:t>
      </w:r>
      <w:r>
        <w:t xml:space="preserve">dépeuplées d’orques. Le peu d’habitants de la région comprennent</w:t>
      </w:r>
      <w:r>
        <w:t xml:space="preserve"> </w:t>
      </w:r>
      <w:r>
        <w:t xml:space="preserve">quelques villageois audacieux, qui se sont installés à la frontière, et</w:t>
      </w:r>
      <w:r>
        <w:t xml:space="preserve"> </w:t>
      </w:r>
      <w:r>
        <w:t xml:space="preserve">les nains de Zarak Dûm.</w:t>
      </w:r>
    </w:p>
    <w:p>
      <w:pPr>
        <w:pStyle w:val="Corpsdetexte"/>
      </w:pPr>
      <w:r>
        <w:t xml:space="preserve">Le no man’s land désolé en 1700 fait partie d’une région d’Arnor,</w:t>
      </w:r>
      <w:r>
        <w:t xml:space="preserve"> </w:t>
      </w:r>
      <w:r>
        <w:t xml:space="preserve">fertile et bien peuplée. Le château Eldanar est entouré de champs bien</w:t>
      </w:r>
      <w:r>
        <w:t xml:space="preserve"> </w:t>
      </w:r>
      <w:r>
        <w:t xml:space="preserve">cultivés et de fermes et villages prospères. Voyager est aussi sûr et</w:t>
      </w:r>
      <w:r>
        <w:t xml:space="preserve"> </w:t>
      </w:r>
      <w:r>
        <w:t xml:space="preserve">intéressant qu’une ballade dans le Comté. Les trolls, géants et dragons,</w:t>
      </w:r>
      <w:r>
        <w:t xml:space="preserve"> </w:t>
      </w:r>
      <w:r>
        <w:t xml:space="preserve">étant confinés dans les montagnes reculées, n’existent que dans les</w:t>
      </w:r>
      <w:r>
        <w:t xml:space="preserve"> </w:t>
      </w:r>
      <w:r>
        <w:t xml:space="preserve">contes pour enfants.</w:t>
      </w:r>
    </w:p>
    <w:bookmarkEnd w:id="23"/>
    <w:bookmarkStart w:id="27" w:name="en-3a-3019"/>
    <w:p>
      <w:pPr>
        <w:pStyle w:val="Titre2"/>
      </w:pPr>
      <w:r>
        <w:t xml:space="preserve">9.2 En 3A 3019</w:t>
      </w:r>
    </w:p>
    <w:p>
      <w:pPr>
        <w:pStyle w:val="FirstParagraph"/>
      </w:pPr>
      <w:r>
        <w:t xml:space="preserve">Angmar au Troisième Âge 3019 (à l’époque de la Guerre de l’Anneau).</w:t>
      </w:r>
      <w:r>
        <w:t xml:space="preserve"> </w:t>
      </w:r>
      <w:r>
        <w:t xml:space="preserve">Montre la région où les Ténèbres dominent complètement.</w:t>
      </w:r>
    </w:p>
    <w:p>
      <w:pPr>
        <w:pStyle w:val="Figure"/>
      </w:pPr>
      <w:r>
        <w:drawing>
          <wp:inline>
            <wp:extent cx="5943600" cy="2444545"/>
            <wp:effectExtent b="0" l="0" r="0" t="0"/>
            <wp:docPr descr="" title="" id="25" name="Picture"/>
            <a:graphic>
              <a:graphicData uri="http://schemas.openxmlformats.org/drawingml/2006/picture">
                <pic:pic>
                  <pic:nvPicPr>
                    <pic:cNvPr descr="images/page-52-2.png" id="26" name="Picture"/>
                    <pic:cNvPicPr>
                      <a:picLocks noChangeArrowheads="1"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444545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bookmarkEnd w:id="27"/>
    <w:bookmarkStart w:id="31" w:name="au-début-du-quatrième-âge"/>
    <w:p>
      <w:pPr>
        <w:pStyle w:val="Titre2"/>
      </w:pPr>
      <w:r>
        <w:t xml:space="preserve">9.3 Au début du Quatrième Âge</w:t>
      </w:r>
    </w:p>
    <w:p>
      <w:pPr>
        <w:pStyle w:val="FirstParagraph"/>
      </w:pPr>
      <w:r>
        <w:t xml:space="preserve">Le Roi Elessar recherche des âmes braves et aventureuses pour</w:t>
      </w:r>
      <w:r>
        <w:t xml:space="preserve"> </w:t>
      </w:r>
      <w:r>
        <w:t xml:space="preserve">explorer les ruines d’Angmar et éliminer les orques qui demeurent dans</w:t>
      </w:r>
      <w:r>
        <w:t xml:space="preserve"> </w:t>
      </w:r>
      <w:r>
        <w:t xml:space="preserve">la région. Ces orques sont un danger pour les colons venant dans la</w:t>
      </w:r>
      <w:r>
        <w:t xml:space="preserve"> </w:t>
      </w:r>
      <w:r>
        <w:t xml:space="preserve">partie septentrionale d’Arnor. Morkai, Shedun et Angsul sont en ruines,</w:t>
      </w:r>
      <w:r>
        <w:t xml:space="preserve"> </w:t>
      </w:r>
      <w:r>
        <w:t xml:space="preserve">et aucun humain ne vit dans la région. L’extérieur de Carn Dûm est tombé</w:t>
      </w:r>
      <w:r>
        <w:t xml:space="preserve"> </w:t>
      </w:r>
      <w:r>
        <w:t xml:space="preserve">en ruines, mais ses tunnels sont en bon état et habités par des orques.</w:t>
      </w:r>
      <w:r>
        <w:t xml:space="preserve"> </w:t>
      </w:r>
      <w:r>
        <w:t xml:space="preserve">Scorba a disparu et les grandes salles de Zarak Dûm sont également</w:t>
      </w:r>
      <w:r>
        <w:t xml:space="preserve"> </w:t>
      </w:r>
      <w:r>
        <w:t xml:space="preserve">devenues des résidences d’orques. Corlagon le Rouge, cependant, reste</w:t>
      </w:r>
      <w:r>
        <w:t xml:space="preserve"> </w:t>
      </w:r>
      <w:r>
        <w:t xml:space="preserve">incontesté et toujours le meilleur et le plus grand et le plus fort.</w:t>
      </w:r>
    </w:p>
    <w:p>
      <w:pPr>
        <w:pStyle w:val="Figure"/>
      </w:pPr>
      <w:r>
        <w:drawing>
          <wp:inline>
            <wp:extent cx="5943600" cy="2473304"/>
            <wp:effectExtent b="0" l="0" r="0" t="0"/>
            <wp:docPr descr="" title="" id="29" name="Picture"/>
            <a:graphic>
              <a:graphicData uri="http://schemas.openxmlformats.org/drawingml/2006/picture">
                <pic:pic>
                  <pic:nvPicPr>
                    <pic:cNvPr descr="images/page-52-3.png" id="30" name="Picture"/>
                    <pic:cNvPicPr>
                      <a:picLocks noChangeArrowheads="1"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473304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FirstParagraph"/>
      </w:pPr>
      <w:r>
        <w:t xml:space="preserve">Les humains reviennent lentement dans le no man’s land, le long de la</w:t>
      </w:r>
      <w:r>
        <w:t xml:space="preserve"> </w:t>
      </w:r>
      <w:r>
        <w:t xml:space="preserve">frontière d’Angmar. De nouveaux villages se créent autour du château</w:t>
      </w:r>
      <w:r>
        <w:t xml:space="preserve"> </w:t>
      </w:r>
      <w:r>
        <w:t xml:space="preserve">Eldanar. Le château a une bonne garnison de rangers et de fantassins,</w:t>
      </w:r>
      <w:r>
        <w:t xml:space="preserve"> </w:t>
      </w:r>
      <w:r>
        <w:t xml:space="preserve">qui protègent les colons. Beaucoup d’anciennes villes ayant des murs</w:t>
      </w:r>
      <w:r>
        <w:t xml:space="preserve"> </w:t>
      </w:r>
      <w:r>
        <w:t xml:space="preserve">d’enceintes sont lentement reconstruites. La région est encore</w:t>
      </w:r>
      <w:r>
        <w:t xml:space="preserve"> </w:t>
      </w:r>
      <w:r>
        <w:t xml:space="preserve">dangereuse ; les colons ont quelques problèmes avec des trolls en</w:t>
      </w:r>
      <w:r>
        <w:t xml:space="preserve"> </w:t>
      </w:r>
      <w:r>
        <w:t xml:space="preserve">maraude et ont vu des traces de géants. Sans aucun encadrement,</w:t>
      </w:r>
      <w:r>
        <w:t xml:space="preserve"> </w:t>
      </w:r>
      <w:r>
        <w:t xml:space="preserve">d’étranges humains du Sud, suivants de Sauron et de Saroumane, mènent</w:t>
      </w:r>
      <w:r>
        <w:t xml:space="preserve"> </w:t>
      </w:r>
      <w:r>
        <w:t xml:space="preserve">une vie de bandits.</w:t>
      </w:r>
    </w:p>
    <w:p>
      <w:pPr>
        <w:pStyle w:val="Corpsdetexte"/>
      </w:pPr>
      <w:r>
        <w:t xml:space="preserve">Les colons sont chaleureusement encouragés par le Roi à s’installer</w:t>
      </w:r>
      <w:r>
        <w:t xml:space="preserve"> </w:t>
      </w:r>
      <w:r>
        <w:t xml:space="preserve">dans la région, et ceux qui aident à nettoyer la région sont</w:t>
      </w:r>
      <w:r>
        <w:t xml:space="preserve"> </w:t>
      </w:r>
      <w:r>
        <w:t xml:space="preserve">récompensés, aussi bien par des terres que par de l’argent.</w:t>
      </w:r>
    </w:p>
    <w:bookmarkEnd w:id="31"/>
    <w:bookmarkEnd w:id="32"/>
    <w:sectPr w:rsidR="006D1F28" w:rsidRPr="004F7787" w:rsidSect="00BB399F">
      <w:pgSz w:h="15840" w:w="12240"/>
      <w:pgMar w:bottom="1440" w:footer="720" w:gutter="0" w:header="720" w:left="1440" w:right="1440" w:top="1440"/>
      <w:cols w:space="720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oefler Text">
    <w:altName w:val="Calibri"/>
    <w:charset w:val="00"/>
    <w:family w:val="auto"/>
    <w:pitch w:val="variable"/>
    <w:sig w:usb0="800002FF" w:usb1="5000204B" w:usb2="00000004" w:usb3="00000000" w:csb0="00000197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sdtdh="http://schemas.microsoft.com/office/word/2020/wordml/sdtdatahash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p14">
  <w:abstractNum w15:restartNumberingAfterBreak="0" w:abstractNumId="0">
    <w:nsid w:val="80A3BF21"/>
    <w:multiLevelType w:val="multilevel"/>
    <w:tmpl w:val="19FE978A"/>
    <w:lvl w:ilvl="0">
      <w:start w:val="1"/>
      <w:numFmt w:val="bullet"/>
      <w:lvlText w:val=""/>
      <w:lvlJc w:val="left"/>
      <w:pPr>
        <w:tabs>
          <w:tab w:pos="0" w:val="num"/>
        </w:tabs>
        <w:ind w:hanging="480" w:left="480"/>
      </w:pPr>
      <w:rPr>
        <w:rFonts w:ascii="Symbol" w:hAnsi="Symbol" w:hint="default"/>
        <w:sz w:val="20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480" w:left="1200"/>
      </w:pPr>
      <w:rPr>
        <w:rFonts w:ascii="Symbol" w:hAnsi="Symbol" w:hint="default"/>
        <w:sz w:val="16"/>
      </w:rPr>
    </w:lvl>
    <w:lvl w:ilvl="2">
      <w:start w:val="1"/>
      <w:numFmt w:val="bullet"/>
      <w:lvlText w:val=""/>
      <w:lvlJc w:val="left"/>
      <w:pPr>
        <w:tabs>
          <w:tab w:pos="1440" w:val="num"/>
        </w:tabs>
        <w:ind w:hanging="480" w:left="1920"/>
      </w:pPr>
      <w:rPr>
        <w:rFonts w:ascii="Symbol" w:hAnsi="Symbol" w:hint="default"/>
        <w:sz w:val="20"/>
      </w:rPr>
    </w:lvl>
    <w:lvl w:ilvl="3">
      <w:numFmt w:val="bullet"/>
      <w:lvlText w:val="–"/>
      <w:lvlJc w:val="left"/>
      <w:pPr>
        <w:tabs>
          <w:tab w:pos="2160" w:val="num"/>
        </w:tabs>
        <w:ind w:hanging="480" w:left="2640"/>
      </w:pPr>
    </w:lvl>
    <w:lvl w:ilvl="4">
      <w:numFmt w:val="bullet"/>
      <w:lvlText w:val="•"/>
      <w:lvlJc w:val="left"/>
      <w:pPr>
        <w:tabs>
          <w:tab w:pos="2880" w:val="num"/>
        </w:tabs>
        <w:ind w:hanging="480" w:left="3360"/>
      </w:pPr>
    </w:lvl>
    <w:lvl w:ilvl="5">
      <w:numFmt w:val="bullet"/>
      <w:lvlText w:val="–"/>
      <w:lvlJc w:val="left"/>
      <w:pPr>
        <w:tabs>
          <w:tab w:pos="3600" w:val="num"/>
        </w:tabs>
        <w:ind w:hanging="480" w:left="4080"/>
      </w:pPr>
    </w:lvl>
    <w:lvl w:ilvl="6">
      <w:numFmt w:val="bullet"/>
      <w:lvlText w:val="•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">
    <w:nsid w:val="FFFFFF7C"/>
    <w:multiLevelType w:val="singleLevel"/>
    <w:tmpl w:val="8084D268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15:restartNumberingAfterBreak="0" w:abstractNumId="2">
    <w:nsid w:val="FFFFFF7D"/>
    <w:multiLevelType w:val="singleLevel"/>
    <w:tmpl w:val="7C72BD9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15:restartNumberingAfterBreak="0" w:abstractNumId="3">
    <w:nsid w:val="FFFFFF7E"/>
    <w:multiLevelType w:val="singleLevel"/>
    <w:tmpl w:val="760AE55C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15:restartNumberingAfterBreak="0" w:abstractNumId="4">
    <w:nsid w:val="FFFFFF7F"/>
    <w:multiLevelType w:val="singleLevel"/>
    <w:tmpl w:val="225ECE86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15:restartNumberingAfterBreak="0" w:abstractNumId="5">
    <w:nsid w:val="FFFFFF80"/>
    <w:multiLevelType w:val="singleLevel"/>
    <w:tmpl w:val="56F212E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ascii="Symbol" w:hAnsi="Symbol" w:hint="default"/>
      </w:rPr>
    </w:lvl>
  </w:abstractNum>
  <w:abstractNum w15:restartNumberingAfterBreak="0" w:abstractNumId="6">
    <w:nsid w:val="FFFFFF81"/>
    <w:multiLevelType w:val="singleLevel"/>
    <w:tmpl w:val="4F32C656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ascii="Symbol" w:hAnsi="Symbol" w:hint="default"/>
      </w:rPr>
    </w:lvl>
  </w:abstractNum>
  <w:abstractNum w15:restartNumberingAfterBreak="0" w:abstractNumId="7">
    <w:nsid w:val="FFFFFF82"/>
    <w:multiLevelType w:val="singleLevel"/>
    <w:tmpl w:val="0A9C42CE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ascii="Symbol" w:hAnsi="Symbol" w:hint="default"/>
      </w:rPr>
    </w:lvl>
  </w:abstractNum>
  <w:abstractNum w15:restartNumberingAfterBreak="0" w:abstractNumId="8">
    <w:nsid w:val="FFFFFF83"/>
    <w:multiLevelType w:val="singleLevel"/>
    <w:tmpl w:val="3D229C56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ascii="Symbol" w:hAnsi="Symbol" w:hint="default"/>
      </w:rPr>
    </w:lvl>
  </w:abstractNum>
  <w:abstractNum w15:restartNumberingAfterBreak="0" w:abstractNumId="9">
    <w:nsid w:val="FFFFFF88"/>
    <w:multiLevelType w:val="singleLevel"/>
    <w:tmpl w:val="A4942BF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15:restartNumberingAfterBreak="0" w:abstractNumId="10">
    <w:nsid w:val="FFFFFF89"/>
    <w:multiLevelType w:val="singleLevel"/>
    <w:tmpl w:val="7716FEA8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ascii="Symbol" w:hAnsi="Symbol" w:hint="default"/>
      </w:rPr>
    </w:lvl>
  </w:abstractNum>
  <w:abstractNum w15:restartNumberingAfterBreak="0" w:abstractNumId="11">
    <w:nsid w:val="255DA1CD"/>
    <w:multiLevelType w:val="multilevel"/>
    <w:tmpl w:val="82EE88C2"/>
    <w:lvl w:ilvl="0">
      <w:start w:val="3"/>
      <w:numFmt w:val="decimal"/>
      <w:lvlText w:val="(%1)"/>
      <w:lvlJc w:val="left"/>
      <w:pPr>
        <w:tabs>
          <w:tab w:pos="0" w:val="num"/>
        </w:tabs>
        <w:ind w:hanging="480" w:left="480"/>
      </w:pPr>
    </w:lvl>
    <w:lvl w:ilvl="1">
      <w:start w:val="3"/>
      <w:numFmt w:val="decimal"/>
      <w:lvlText w:val="(%2)"/>
      <w:lvlJc w:val="left"/>
      <w:pPr>
        <w:tabs>
          <w:tab w:pos="720" w:val="num"/>
        </w:tabs>
        <w:ind w:hanging="480" w:left="1200"/>
      </w:pPr>
    </w:lvl>
    <w:lvl w:ilvl="2">
      <w:start w:val="3"/>
      <w:numFmt w:val="decimal"/>
      <w:lvlText w:val="(%3)"/>
      <w:lvlJc w:val="left"/>
      <w:pPr>
        <w:tabs>
          <w:tab w:pos="1440" w:val="num"/>
        </w:tabs>
        <w:ind w:hanging="480" w:left="1920"/>
      </w:pPr>
    </w:lvl>
    <w:lvl w:ilvl="3">
      <w:start w:val="3"/>
      <w:numFmt w:val="decimal"/>
      <w:lvlText w:val="(%4)"/>
      <w:lvlJc w:val="left"/>
      <w:pPr>
        <w:tabs>
          <w:tab w:pos="2160" w:val="num"/>
        </w:tabs>
        <w:ind w:hanging="480" w:left="2640"/>
      </w:pPr>
    </w:lvl>
    <w:lvl w:ilvl="4">
      <w:start w:val="3"/>
      <w:numFmt w:val="decimal"/>
      <w:lvlText w:val="(%5)"/>
      <w:lvlJc w:val="left"/>
      <w:pPr>
        <w:tabs>
          <w:tab w:pos="2880" w:val="num"/>
        </w:tabs>
        <w:ind w:hanging="480" w:left="3360"/>
      </w:pPr>
    </w:lvl>
    <w:lvl w:ilvl="5">
      <w:start w:val="3"/>
      <w:numFmt w:val="decimal"/>
      <w:lvlText w:val="(%6)"/>
      <w:lvlJc w:val="left"/>
      <w:pPr>
        <w:tabs>
          <w:tab w:pos="3600" w:val="num"/>
        </w:tabs>
        <w:ind w:hanging="480" w:left="4080"/>
      </w:pPr>
    </w:lvl>
    <w:lvl w:ilvl="6">
      <w:start w:val="3"/>
      <w:numFmt w:val="decimal"/>
      <w:lvlText w:val="(%7)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2">
    <w:nsid w:val="3371589D"/>
    <w:multiLevelType w:val="multilevel"/>
    <w:tmpl w:val="54B2C838"/>
    <w:lvl w:ilvl="0">
      <w:start w:val="1"/>
      <w:numFmt w:val="decimal"/>
      <w:lvlText w:val="(%1)"/>
      <w:lvlJc w:val="left"/>
      <w:pPr>
        <w:tabs>
          <w:tab w:pos="0" w:val="num"/>
        </w:tabs>
        <w:ind w:hanging="480" w:left="480"/>
      </w:pPr>
    </w:lvl>
    <w:lvl w:ilvl="1">
      <w:start w:val="1"/>
      <w:numFmt w:val="decimal"/>
      <w:lvlText w:val="(%2)"/>
      <w:lvlJc w:val="left"/>
      <w:pPr>
        <w:tabs>
          <w:tab w:pos="720" w:val="num"/>
        </w:tabs>
        <w:ind w:hanging="480" w:left="1200"/>
      </w:pPr>
    </w:lvl>
    <w:lvl w:ilvl="2">
      <w:start w:val="1"/>
      <w:numFmt w:val="decimal"/>
      <w:lvlText w:val="(%3)"/>
      <w:lvlJc w:val="left"/>
      <w:pPr>
        <w:tabs>
          <w:tab w:pos="1440" w:val="num"/>
        </w:tabs>
        <w:ind w:hanging="480" w:left="1920"/>
      </w:pPr>
    </w:lvl>
    <w:lvl w:ilvl="3">
      <w:start w:val="1"/>
      <w:numFmt w:val="decimal"/>
      <w:lvlText w:val="(%4)"/>
      <w:lvlJc w:val="left"/>
      <w:pPr>
        <w:tabs>
          <w:tab w:pos="2160" w:val="num"/>
        </w:tabs>
        <w:ind w:hanging="480" w:left="2640"/>
      </w:pPr>
    </w:lvl>
    <w:lvl w:ilvl="4">
      <w:start w:val="1"/>
      <w:numFmt w:val="decimal"/>
      <w:lvlText w:val="(%5)"/>
      <w:lvlJc w:val="left"/>
      <w:pPr>
        <w:tabs>
          <w:tab w:pos="2880" w:val="num"/>
        </w:tabs>
        <w:ind w:hanging="480" w:left="3360"/>
      </w:pPr>
    </w:lvl>
    <w:lvl w:ilvl="5">
      <w:start w:val="1"/>
      <w:numFmt w:val="decimal"/>
      <w:lvlText w:val="(%6)"/>
      <w:lvlJc w:val="left"/>
      <w:pPr>
        <w:tabs>
          <w:tab w:pos="3600" w:val="num"/>
        </w:tabs>
        <w:ind w:hanging="480" w:left="4080"/>
      </w:pPr>
    </w:lvl>
    <w:lvl w:ilvl="6">
      <w:start w:val="1"/>
      <w:numFmt w:val="decimal"/>
      <w:lvlText w:val="(%7)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3">
    <w:nsid w:val="3A0CC6BA"/>
    <w:multiLevelType w:val="multilevel"/>
    <w:tmpl w:val="BDD2D0D8"/>
    <w:lvl w:ilvl="0">
      <w:start w:val="5"/>
      <w:numFmt w:val="decimal"/>
      <w:lvlText w:val="%1."/>
      <w:lvlJc w:val="left"/>
      <w:pPr>
        <w:tabs>
          <w:tab w:pos="0" w:val="num"/>
        </w:tabs>
        <w:ind w:hanging="480" w:left="480"/>
      </w:pPr>
    </w:lvl>
    <w:lvl w:ilvl="1">
      <w:start w:val="5"/>
      <w:numFmt w:val="decimal"/>
      <w:lvlText w:val="%2."/>
      <w:lvlJc w:val="left"/>
      <w:pPr>
        <w:tabs>
          <w:tab w:pos="720" w:val="num"/>
        </w:tabs>
        <w:ind w:hanging="480" w:left="1200"/>
      </w:pPr>
    </w:lvl>
    <w:lvl w:ilvl="2">
      <w:start w:val="5"/>
      <w:numFmt w:val="decimal"/>
      <w:lvlText w:val="%3."/>
      <w:lvlJc w:val="left"/>
      <w:pPr>
        <w:tabs>
          <w:tab w:pos="1440" w:val="num"/>
        </w:tabs>
        <w:ind w:hanging="480" w:left="1920"/>
      </w:pPr>
    </w:lvl>
    <w:lvl w:ilvl="3">
      <w:start w:val="5"/>
      <w:numFmt w:val="decimal"/>
      <w:lvlText w:val="%4."/>
      <w:lvlJc w:val="left"/>
      <w:pPr>
        <w:tabs>
          <w:tab w:pos="2160" w:val="num"/>
        </w:tabs>
        <w:ind w:hanging="480" w:left="2640"/>
      </w:pPr>
    </w:lvl>
    <w:lvl w:ilvl="4">
      <w:start w:val="5"/>
      <w:numFmt w:val="decimal"/>
      <w:lvlText w:val="%5."/>
      <w:lvlJc w:val="left"/>
      <w:pPr>
        <w:tabs>
          <w:tab w:pos="2880" w:val="num"/>
        </w:tabs>
        <w:ind w:hanging="480" w:left="3360"/>
      </w:pPr>
    </w:lvl>
    <w:lvl w:ilvl="5">
      <w:start w:val="5"/>
      <w:numFmt w:val="decimal"/>
      <w:lvlText w:val="%6."/>
      <w:lvlJc w:val="left"/>
      <w:pPr>
        <w:tabs>
          <w:tab w:pos="3600" w:val="num"/>
        </w:tabs>
        <w:ind w:hanging="480" w:left="4080"/>
      </w:pPr>
    </w:lvl>
    <w:lvl w:ilvl="6">
      <w:start w:val="5"/>
      <w:numFmt w:val="decimal"/>
      <w:lvlText w:val="%7.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4">
    <w:nsid w:val="55FC5ABC"/>
    <w:multiLevelType w:val="multilevel"/>
    <w:tmpl w:val="12548A0E"/>
    <w:lvl w:ilvl="0">
      <w:start w:val="1"/>
      <w:numFmt w:val="bullet"/>
      <w:pStyle w:val="Paragraphedeliste"/>
      <w:lvlText w:val=""/>
      <w:lvlJc w:val="left"/>
      <w:pPr>
        <w:tabs>
          <w:tab w:pos="0" w:val="num"/>
        </w:tabs>
        <w:ind w:hanging="480" w:left="480"/>
      </w:pPr>
      <w:rPr>
        <w:rFonts w:ascii="Symbol" w:hAnsi="Symbol" w:hint="default"/>
        <w:sz w:val="20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480" w:left="1200"/>
      </w:pPr>
      <w:rPr>
        <w:rFonts w:ascii="Symbol" w:hAnsi="Symbol" w:hint="default"/>
        <w:sz w:val="16"/>
      </w:rPr>
    </w:lvl>
    <w:lvl w:ilvl="2">
      <w:start w:val="1"/>
      <w:numFmt w:val="bullet"/>
      <w:lvlText w:val=""/>
      <w:lvlJc w:val="left"/>
      <w:pPr>
        <w:tabs>
          <w:tab w:pos="1440" w:val="num"/>
        </w:tabs>
        <w:ind w:hanging="480" w:left="1920"/>
      </w:pPr>
      <w:rPr>
        <w:rFonts w:ascii="Symbol" w:hAnsi="Symbol" w:hint="default"/>
        <w:sz w:val="20"/>
      </w:rPr>
    </w:lvl>
    <w:lvl w:ilvl="3">
      <w:numFmt w:val="bullet"/>
      <w:lvlText w:val="–"/>
      <w:lvlJc w:val="left"/>
      <w:pPr>
        <w:tabs>
          <w:tab w:pos="2160" w:val="num"/>
        </w:tabs>
        <w:ind w:hanging="480" w:left="2640"/>
      </w:pPr>
    </w:lvl>
    <w:lvl w:ilvl="4">
      <w:numFmt w:val="bullet"/>
      <w:lvlText w:val="•"/>
      <w:lvlJc w:val="left"/>
      <w:pPr>
        <w:tabs>
          <w:tab w:pos="2880" w:val="num"/>
        </w:tabs>
        <w:ind w:hanging="480" w:left="3360"/>
      </w:pPr>
    </w:lvl>
    <w:lvl w:ilvl="5">
      <w:numFmt w:val="bullet"/>
      <w:lvlText w:val="–"/>
      <w:lvlJc w:val="left"/>
      <w:pPr>
        <w:tabs>
          <w:tab w:pos="3600" w:val="num"/>
        </w:tabs>
        <w:ind w:hanging="480" w:left="4080"/>
      </w:pPr>
    </w:lvl>
    <w:lvl w:ilvl="6">
      <w:numFmt w:val="bullet"/>
      <w:lvlText w:val="•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5">
    <w:nsid w:val="66EB4C9B"/>
    <w:multiLevelType w:val="multilevel"/>
    <w:tmpl w:val="11E6F828"/>
    <w:lvl w:ilvl="0">
      <w:start w:val="1"/>
      <w:numFmt w:val="decimal"/>
      <w:lvlText w:val="%1."/>
      <w:lvlJc w:val="left"/>
      <w:pPr>
        <w:tabs>
          <w:tab w:pos="0" w:val="num"/>
        </w:tabs>
        <w:ind w:hanging="480" w:left="480"/>
      </w:pPr>
    </w:lvl>
    <w:lvl w:ilvl="1">
      <w:start w:val="1"/>
      <w:numFmt w:val="decimal"/>
      <w:lvlText w:val="%2."/>
      <w:lvlJc w:val="left"/>
      <w:pPr>
        <w:tabs>
          <w:tab w:pos="720" w:val="num"/>
        </w:tabs>
        <w:ind w:hanging="480" w:left="1200"/>
      </w:pPr>
    </w:lvl>
    <w:lvl w:ilvl="2">
      <w:start w:val="1"/>
      <w:numFmt w:val="decimal"/>
      <w:lvlText w:val="%3."/>
      <w:lvlJc w:val="left"/>
      <w:pPr>
        <w:tabs>
          <w:tab w:pos="1440" w:val="num"/>
        </w:tabs>
        <w:ind w:hanging="480" w:left="1920"/>
      </w:pPr>
    </w:lvl>
    <w:lvl w:ilvl="3">
      <w:start w:val="1"/>
      <w:numFmt w:val="decimal"/>
      <w:lvlText w:val="%4."/>
      <w:lvlJc w:val="left"/>
      <w:pPr>
        <w:tabs>
          <w:tab w:pos="2160" w:val="num"/>
        </w:tabs>
        <w:ind w:hanging="480" w:left="2640"/>
      </w:pPr>
    </w:lvl>
    <w:lvl w:ilvl="4">
      <w:start w:val="1"/>
      <w:numFmt w:val="decimal"/>
      <w:lvlText w:val="%5."/>
      <w:lvlJc w:val="left"/>
      <w:pPr>
        <w:tabs>
          <w:tab w:pos="2880" w:val="num"/>
        </w:tabs>
        <w:ind w:hanging="480" w:left="3360"/>
      </w:pPr>
    </w:lvl>
    <w:lvl w:ilvl="5">
      <w:start w:val="1"/>
      <w:numFmt w:val="decimal"/>
      <w:lvlText w:val="%6."/>
      <w:lvlJc w:val="left"/>
      <w:pPr>
        <w:tabs>
          <w:tab w:pos="3600" w:val="num"/>
        </w:tabs>
        <w:ind w:hanging="480" w:left="4080"/>
      </w:pPr>
    </w:lvl>
    <w:lvl w:ilvl="6">
      <w:start w:val="1"/>
      <w:numFmt w:val="decimal"/>
      <w:lvlText w:val="%7.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6">
    <w:nsid w:val="7648516F"/>
    <w:multiLevelType w:val="multilevel"/>
    <w:tmpl w:val="A1445374"/>
    <w:lvl w:ilvl="0">
      <w:numFmt w:val="bullet"/>
      <w:lvlText w:val=" "/>
      <w:lvlJc w:val="left"/>
      <w:pPr>
        <w:tabs>
          <w:tab w:pos="0" w:val="num"/>
        </w:tabs>
        <w:ind w:hanging="480" w:left="480"/>
      </w:pPr>
    </w:lvl>
    <w:lvl w:ilvl="1">
      <w:numFmt w:val="bullet"/>
      <w:lvlText w:val=" "/>
      <w:lvlJc w:val="left"/>
      <w:pPr>
        <w:tabs>
          <w:tab w:pos="720" w:val="num"/>
        </w:tabs>
        <w:ind w:hanging="480" w:left="1200"/>
      </w:pPr>
    </w:lvl>
    <w:lvl w:ilvl="2">
      <w:numFmt w:val="bullet"/>
      <w:lvlText w:val=" "/>
      <w:lvlJc w:val="left"/>
      <w:pPr>
        <w:tabs>
          <w:tab w:pos="1440" w:val="num"/>
        </w:tabs>
        <w:ind w:hanging="480" w:left="1920"/>
      </w:pPr>
    </w:lvl>
    <w:lvl w:ilvl="3">
      <w:numFmt w:val="bullet"/>
      <w:lvlText w:val=" "/>
      <w:lvlJc w:val="left"/>
      <w:pPr>
        <w:tabs>
          <w:tab w:pos="2160" w:val="num"/>
        </w:tabs>
        <w:ind w:hanging="480" w:left="2640"/>
      </w:pPr>
    </w:lvl>
    <w:lvl w:ilvl="4">
      <w:numFmt w:val="bullet"/>
      <w:lvlText w:val=" "/>
      <w:lvlJc w:val="left"/>
      <w:pPr>
        <w:tabs>
          <w:tab w:pos="2880" w:val="num"/>
        </w:tabs>
        <w:ind w:hanging="480" w:left="3360"/>
      </w:pPr>
    </w:lvl>
    <w:lvl w:ilvl="5">
      <w:numFmt w:val="bullet"/>
      <w:lvlText w:val=" "/>
      <w:lvlJc w:val="left"/>
      <w:pPr>
        <w:tabs>
          <w:tab w:pos="3600" w:val="num"/>
        </w:tabs>
        <w:ind w:hanging="480" w:left="4080"/>
      </w:pPr>
    </w:lvl>
    <w:lvl w:ilvl="6">
      <w:numFmt w:val="bullet"/>
      <w:lvlText w:val=" 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90">
    <w:nsid w:val="A990"/>
    <w:multiLevelType w:val="multilevel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num w:numId="1">
    <w:abstractNumId w:val="16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</w:num>
  <w:num w:numId="9">
    <w:abstractNumId w:val="13"/>
    <w:lvlOverride w:ilvl="0">
      <w:startOverride w:val="5"/>
    </w:lvlOverride>
    <w:lvlOverride w:ilvl="1">
      <w:startOverride w:val="5"/>
    </w:lvlOverride>
    <w:lvlOverride w:ilvl="2">
      <w:startOverride w:val="5"/>
    </w:lvlOverride>
    <w:lvlOverride w:ilvl="3">
      <w:startOverride w:val="5"/>
    </w:lvlOverride>
    <w:lvlOverride w:ilvl="4">
      <w:startOverride w:val="5"/>
    </w:lvlOverride>
    <w:lvlOverride w:ilvl="5">
      <w:startOverride w:val="5"/>
    </w:lvlOverride>
    <w:lvlOverride w:ilvl="6">
      <w:startOverride w:val="5"/>
    </w:lvlOverride>
  </w:num>
  <w:num w:numId="1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</w:num>
  <w:num w:numId="11">
    <w:abstractNumId w:val="11"/>
    <w:lvlOverride w:ilvl="0">
      <w:startOverride w:val="3"/>
    </w:lvlOverride>
    <w:lvlOverride w:ilvl="1">
      <w:startOverride w:val="3"/>
    </w:lvlOverride>
    <w:lvlOverride w:ilvl="2">
      <w:startOverride w:val="3"/>
    </w:lvlOverride>
    <w:lvlOverride w:ilvl="3">
      <w:startOverride w:val="3"/>
    </w:lvlOverride>
    <w:lvlOverride w:ilvl="4">
      <w:startOverride w:val="3"/>
    </w:lvlOverride>
    <w:lvlOverride w:ilvl="5">
      <w:startOverride w:val="3"/>
    </w:lvlOverride>
    <w:lvlOverride w:ilvl="6">
      <w:startOverride w:val="3"/>
    </w:lvlOverride>
  </w:num>
  <w:num w:numId="12">
    <w:abstractNumId w:val="0"/>
  </w:num>
  <w:num w:numId="13">
    <w:abstractNumId w:val="7"/>
  </w:num>
  <w:num w:numId="14">
    <w:abstractNumId w:val="6"/>
  </w:num>
  <w:num w:numId="15">
    <w:abstractNumId w:val="14"/>
  </w:num>
  <w:num w:numId="16">
    <w:abstractNumId w:val="9"/>
  </w:num>
  <w:num w:numId="17">
    <w:abstractNumId w:val="4"/>
  </w:num>
  <w:num w:numId="18">
    <w:abstractNumId w:val="3"/>
  </w:num>
  <w:num w:numId="19">
    <w:abstractNumId w:val="2"/>
  </w:num>
  <w:num w:numId="20">
    <w:abstractNumId w:val="1"/>
  </w:num>
  <w:num w:numId="21">
    <w:abstractNumId w:val="10"/>
  </w:num>
  <w:num w:numId="22">
    <w:abstractNumId w:val="8"/>
  </w:num>
  <w:num w:numId="23">
    <w:abstractNumId w:val="5"/>
  </w:num>
  <w:num w:numId="1000">
    <w:abstractNumId w:val="990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stylePaneFormatFilter w:val="0004"/>
  <w:footnotePr>
    <w:footnote w:id="-1"/>
    <w:footnote w:id="0"/>
  </w:footnotePr>
  <w:doNotTrackMoves/>
  <w:savePreviewPicture/>
  <w:rsids>
  </w:rsids>
  <w:clrSchemeMapping w:accent1="accent1" w:accent2="accent2" w:accent3="accent3" w:accent4="accent4" w:accent5="accent5" w:accent6="accent6" w:bg1="light1" w:bg2="light2" w:followedHyperlink="followedHyperlink" w:hyperlink="hyperlink" w:t1="dark1" w:t2="dark2"/>
  <w:zoom w:percent="100"/>
  <w:embedSystemFonts/>
  <w:proofState w:grammar="clean" w:spelling="clean"/>
  <w:defaultTabStop w:val="720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eastAsia="ja-JP" w:val="en-US"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cstheme="minorBidi" w:eastAsiaTheme="minorHAnsi" w:hAnsiTheme="minorHAnsi"/>
        <w:sz w:val="24"/>
        <w:szCs w:val="24"/>
        <w:lang w:bidi="ar-SA" w:eastAsia="en-US" w:val="en-US"/>
      </w:rPr>
    </w:rPrDefault>
    <w:pPrDefault>
      <w:pPr>
        <w:spacing w:after="200"/>
      </w:pPr>
    </w:pPrDefault>
  </w:docDefaults>
  <w:latentStyles w:count="376" w:defLockedState="0" w:defQFormat="0" w:defSemiHidden="0" w:defUIPriority="0" w:defUnhideWhenUsed="0">
    <w:lsdException w:name="heading 4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5" w:semiHidden="1" w:unhideWhenUsed="1"/>
    <w:lsdException w:name="List Bullet 2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default="1" w:styleId="Normal" w:type="paragraph">
    <w:name w:val="Normal"/>
    <w:qFormat/>
    <w:rsid w:val="002B21D5"/>
    <w:pPr>
      <w:spacing w:after="120" w:line="312" w:lineRule="auto"/>
    </w:pPr>
    <w:rPr>
      <w:rFonts w:ascii="Times New Roman" w:hAnsi="Times New Roman"/>
      <w:lang w:val="fr-FR"/>
    </w:rPr>
  </w:style>
  <w:style w:styleId="Titre1" w:type="paragraph">
    <w:name w:val="heading 1"/>
    <w:basedOn w:val="Normal"/>
    <w:next w:val="Normal"/>
    <w:uiPriority w:val="9"/>
    <w:qFormat/>
    <w:rsid w:val="00953864"/>
    <w:pPr>
      <w:keepLines/>
      <w:pageBreakBefore/>
      <w:spacing w:after="240" w:line="240" w:lineRule="auto"/>
      <w:outlineLvl w:val="0"/>
    </w:pPr>
    <w:rPr>
      <w:rFonts w:cstheme="majorBidi" w:eastAsiaTheme="majorEastAsia"/>
      <w:bCs/>
      <w:color w:val="591409"/>
      <w:sz w:val="72"/>
      <w:szCs w:val="48"/>
      <w:lang w:val="en-US"/>
    </w:rPr>
  </w:style>
  <w:style w:styleId="Titre2" w:type="paragraph">
    <w:name w:val="heading 2"/>
    <w:basedOn w:val="Normal"/>
    <w:next w:val="Normal"/>
    <w:uiPriority w:val="9"/>
    <w:unhideWhenUsed/>
    <w:qFormat/>
    <w:rsid w:val="00953864"/>
    <w:pPr>
      <w:keepNext/>
      <w:keepLines/>
      <w:spacing w:after="240" w:before="480" w:line="240" w:lineRule="auto"/>
      <w:outlineLvl w:val="1"/>
    </w:pPr>
    <w:rPr>
      <w:rFonts w:cstheme="majorBidi" w:eastAsiaTheme="majorEastAsia"/>
      <w:bCs/>
      <w:color w:val="591409"/>
      <w:sz w:val="56"/>
      <w:szCs w:val="22"/>
      <w:lang w:val="en-US"/>
    </w:rPr>
  </w:style>
  <w:style w:styleId="Titre3" w:type="paragraph">
    <w:name w:val="heading 3"/>
    <w:basedOn w:val="Normal"/>
    <w:next w:val="Normal"/>
    <w:uiPriority w:val="9"/>
    <w:unhideWhenUsed/>
    <w:qFormat/>
    <w:rsid w:val="00953864"/>
    <w:pPr>
      <w:keepNext/>
      <w:keepLines/>
      <w:spacing w:after="240" w:before="480" w:line="240" w:lineRule="auto"/>
      <w:outlineLvl w:val="2"/>
    </w:pPr>
    <w:rPr>
      <w:rFonts w:cstheme="majorBidi" w:eastAsiaTheme="majorEastAsia"/>
      <w:bCs/>
      <w:color w:val="591409"/>
      <w:sz w:val="44"/>
      <w:lang w:val="en-US"/>
    </w:rPr>
  </w:style>
  <w:style w:styleId="Titre4" w:type="paragraph">
    <w:name w:val="heading 4"/>
    <w:basedOn w:val="Normal"/>
    <w:next w:val="Normal"/>
    <w:uiPriority w:val="9"/>
    <w:unhideWhenUsed/>
    <w:qFormat/>
    <w:rsid w:val="00953864"/>
    <w:pPr>
      <w:keepNext/>
      <w:keepLines/>
      <w:spacing w:before="360" w:line="240" w:lineRule="auto"/>
      <w:outlineLvl w:val="3"/>
    </w:pPr>
    <w:rPr>
      <w:rFonts w:cstheme="majorBidi" w:eastAsiaTheme="majorEastAsia"/>
      <w:bCs/>
      <w:color w:val="591409"/>
      <w:sz w:val="36"/>
      <w:szCs w:val="22"/>
      <w:lang w:val="en-US"/>
    </w:rPr>
  </w:style>
  <w:style w:styleId="Titre5" w:type="paragraph">
    <w:name w:val="heading 5"/>
    <w:basedOn w:val="Normal"/>
    <w:next w:val="Normal"/>
    <w:uiPriority w:val="9"/>
    <w:unhideWhenUsed/>
    <w:qFormat/>
    <w:rsid w:val="00953864"/>
    <w:pPr>
      <w:keepNext/>
      <w:keepLines/>
      <w:spacing w:before="360" w:line="240" w:lineRule="auto"/>
      <w:outlineLvl w:val="4"/>
    </w:pPr>
    <w:rPr>
      <w:rFonts w:cstheme="majorBidi" w:eastAsiaTheme="majorEastAsia"/>
      <w:bCs/>
      <w:iCs/>
      <w:color w:val="591409"/>
      <w:sz w:val="28"/>
      <w:lang w:val="en-US"/>
    </w:rPr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customStyle="1" w:styleId="Compact" w:type="paragraph">
    <w:name w:val="Compact"/>
    <w:basedOn w:val="Normal"/>
    <w:qFormat/>
    <w:rsid w:val="00482157"/>
    <w:pPr>
      <w:spacing w:after="100" w:afterAutospacing="1" w:before="100" w:beforeAutospacing="1"/>
    </w:pPr>
  </w:style>
  <w:style w:styleId="Titre" w:type="paragraph">
    <w:name w:val="Title"/>
    <w:basedOn w:val="Normal"/>
    <w:next w:val="Normal"/>
    <w:qFormat/>
    <w:rsid w:val="00D62A13"/>
    <w:pPr>
      <w:keepNext/>
      <w:keepLines/>
      <w:spacing w:after="480" w:before="120"/>
      <w:jc w:val="right"/>
    </w:pPr>
    <w:rPr>
      <w:rFonts w:cs="Times New Roman" w:eastAsiaTheme="majorEastAsia"/>
      <w:bCs/>
      <w:sz w:val="20"/>
      <w:szCs w:val="20"/>
      <w:lang w:val="en-US"/>
    </w:rPr>
  </w:style>
  <w:style w:customStyle="1" w:styleId="Authors" w:type="paragraph">
    <w:name w:val="Authors"/>
    <w:next w:val="Normal"/>
    <w:qFormat/>
    <w:pPr>
      <w:keepNext/>
      <w:keepLines/>
      <w:jc w:val="center"/>
    </w:pPr>
  </w:style>
  <w:style w:styleId="Date" w:type="paragraph">
    <w:name w:val="Date"/>
    <w:next w:val="Normal"/>
    <w:qFormat/>
    <w:pPr>
      <w:keepNext/>
      <w:keepLines/>
      <w:jc w:val="center"/>
    </w:pPr>
  </w:style>
  <w:style w:customStyle="1" w:styleId="BlockQuote" w:type="paragraph">
    <w:name w:val="Block Quote"/>
    <w:basedOn w:val="Normal"/>
    <w:next w:val="Normal"/>
    <w:uiPriority w:val="9"/>
    <w:unhideWhenUsed/>
    <w:qFormat/>
    <w:rsid w:val="00482157"/>
    <w:pPr>
      <w:pBdr>
        <w:left w:color="548DD4" w:space="20" w:sz="4" w:themeColor="text2" w:themeTint="99" w:val="single"/>
        <w:right w:color="548DD4" w:space="20" w:sz="4" w:themeColor="text2" w:themeTint="99" w:val="single"/>
      </w:pBdr>
      <w:spacing w:after="240" w:before="240"/>
      <w:ind w:left="1440" w:right="1440"/>
    </w:pPr>
    <w:rPr>
      <w:rFonts w:cstheme="majorBidi" w:eastAsiaTheme="majorEastAsia"/>
      <w:bCs/>
      <w:color w:themeColor="text1" w:themeTint="80" w:val="7F7F7F"/>
      <w:szCs w:val="20"/>
    </w:rPr>
  </w:style>
  <w:style w:styleId="Notedebasdepage" w:type="paragraph">
    <w:name w:val="footnote text"/>
    <w:basedOn w:val="Normal"/>
    <w:uiPriority w:val="9"/>
    <w:unhideWhenUsed/>
    <w:qFormat/>
    <w:rsid w:val="007C1813"/>
    <w:pPr>
      <w:spacing w:line="240" w:lineRule="auto"/>
    </w:pPr>
    <w:rPr>
      <w:sz w:val="20"/>
    </w:rPr>
  </w:style>
  <w:style w:customStyle="1" w:styleId="DefinitionTerm" w:type="paragraph">
    <w:name w:val="Definition Term"/>
    <w:basedOn w:val="Normal"/>
    <w:next w:val="Definition"/>
    <w:rsid w:val="00D5045B"/>
    <w:pPr>
      <w:keepNext/>
      <w:keepLines/>
    </w:pPr>
    <w:rPr>
      <w:b/>
      <w:bCs/>
      <w:color w:themeColor="text2" w:val="1F497D"/>
    </w:rPr>
  </w:style>
  <w:style w:customStyle="1" w:styleId="Definition" w:type="paragraph">
    <w:name w:val="Definition"/>
    <w:basedOn w:val="Normal"/>
    <w:rsid w:val="00D5045B"/>
    <w:pPr>
      <w:ind w:left="720"/>
    </w:pPr>
  </w:style>
  <w:style w:styleId="Corpsdetexte" w:type="paragraph">
    <w:name w:val="Body Text"/>
    <w:basedOn w:val="Normal"/>
    <w:link w:val="CorpsdetexteCar"/>
  </w:style>
  <w:style w:customStyle="1" w:styleId="TableCaption" w:type="paragraph">
    <w:name w:val="Table Caption"/>
    <w:basedOn w:val="Normal"/>
    <w:rPr>
      <w:i/>
    </w:rPr>
  </w:style>
  <w:style w:customStyle="1" w:styleId="ImageCaption" w:type="paragraph">
    <w:name w:val="Image Caption"/>
    <w:basedOn w:val="Normal"/>
    <w:link w:val="BodyTextChar"/>
    <w:rsid w:val="008547F7"/>
    <w:pPr>
      <w:jc w:val="center"/>
    </w:pPr>
  </w:style>
  <w:style w:customStyle="1" w:styleId="BodyTextChar" w:type="character">
    <w:name w:val="Body Text Char"/>
    <w:basedOn w:val="Policepardfaut"/>
    <w:link w:val="ImageCaption"/>
    <w:rsid w:val="008547F7"/>
    <w:rPr>
      <w:rFonts w:ascii="Times New Roman" w:hAnsi="Times New Roman"/>
      <w:lang w:val="fr-FR"/>
    </w:rPr>
  </w:style>
  <w:style w:customStyle="1" w:styleId="VerbatimChar" w:type="character">
    <w:name w:val="Verbatim Char"/>
    <w:basedOn w:val="BodyTextChar"/>
    <w:link w:val="SourceCode"/>
    <w:rsid w:val="007C1813"/>
    <w:rPr>
      <w:rFonts w:ascii="Consolas" w:hAnsi="Consolas"/>
      <w:lang w:val="fr-FR"/>
    </w:rPr>
  </w:style>
  <w:style w:customStyle="1" w:styleId="FootnoteRef" w:type="character">
    <w:name w:val="Footnote Ref"/>
    <w:basedOn w:val="BodyTextChar"/>
    <w:rPr>
      <w:rFonts w:ascii="Times New Roman" w:hAnsi="Times New Roman"/>
      <w:vertAlign w:val="superscript"/>
      <w:lang w:val="fr-FR"/>
    </w:rPr>
  </w:style>
  <w:style w:customStyle="1" w:styleId="Link" w:type="character">
    <w:name w:val="Link"/>
    <w:basedOn w:val="BodyTextChar"/>
    <w:rsid w:val="00D80FE7"/>
    <w:rPr>
      <w:rFonts w:ascii="Times New Roman" w:hAnsi="Times New Roman"/>
      <w:color w:themeColor="accent1" w:val="4F81BD"/>
      <w:sz w:val="32"/>
      <w:lang w:val="fr-FR"/>
    </w:rPr>
  </w:style>
  <w:style w:customStyle="1" w:styleId="SourceCode" w:type="paragraph">
    <w:name w:val="Source Code"/>
    <w:basedOn w:val="Normal"/>
    <w:link w:val="VerbatimChar"/>
    <w:rsid w:val="007C1813"/>
    <w:pPr>
      <w:wordWrap w:val="0"/>
    </w:pPr>
    <w:rPr>
      <w:rFonts w:ascii="Consolas" w:hAnsi="Consolas"/>
    </w:rPr>
  </w:style>
  <w:style w:customStyle="1" w:styleId="KeywordTok" w:type="character">
    <w:name w:val="KeywordTok"/>
    <w:basedOn w:val="VerbatimChar"/>
    <w:rPr>
      <w:rFonts w:ascii="Consolas" w:hAnsi="Consolas"/>
      <w:b/>
      <w:color w:val="007020"/>
      <w:lang w:val="fr-FR"/>
    </w:rPr>
  </w:style>
  <w:style w:customStyle="1" w:styleId="DataTypeTok" w:type="character">
    <w:name w:val="DataTypeTok"/>
    <w:basedOn w:val="VerbatimChar"/>
    <w:rPr>
      <w:rFonts w:ascii="Consolas" w:hAnsi="Consolas"/>
      <w:color w:val="902000"/>
      <w:lang w:val="fr-FR"/>
    </w:rPr>
  </w:style>
  <w:style w:customStyle="1" w:styleId="DecValTok" w:type="character">
    <w:name w:val="DecValTok"/>
    <w:basedOn w:val="VerbatimChar"/>
    <w:rPr>
      <w:rFonts w:ascii="Consolas" w:hAnsi="Consolas"/>
      <w:color w:val="40A070"/>
      <w:lang w:val="fr-FR"/>
    </w:rPr>
  </w:style>
  <w:style w:customStyle="1" w:styleId="BaseNTok" w:type="character">
    <w:name w:val="BaseNTok"/>
    <w:basedOn w:val="VerbatimChar"/>
    <w:rPr>
      <w:rFonts w:ascii="Consolas" w:hAnsi="Consolas"/>
      <w:color w:val="40A070"/>
      <w:lang w:val="fr-FR"/>
    </w:rPr>
  </w:style>
  <w:style w:customStyle="1" w:styleId="FloatTok" w:type="character">
    <w:name w:val="FloatTok"/>
    <w:basedOn w:val="VerbatimChar"/>
    <w:rPr>
      <w:rFonts w:ascii="Consolas" w:hAnsi="Consolas"/>
      <w:color w:val="40A070"/>
      <w:lang w:val="fr-FR"/>
    </w:rPr>
  </w:style>
  <w:style w:customStyle="1" w:styleId="CharTok" w:type="character">
    <w:name w:val="CharTok"/>
    <w:basedOn w:val="VerbatimChar"/>
    <w:rPr>
      <w:rFonts w:ascii="Consolas" w:hAnsi="Consolas"/>
      <w:color w:val="4070A0"/>
      <w:lang w:val="fr-FR"/>
    </w:rPr>
  </w:style>
  <w:style w:customStyle="1" w:styleId="StringTok" w:type="character">
    <w:name w:val="StringTok"/>
    <w:basedOn w:val="VerbatimChar"/>
    <w:rPr>
      <w:rFonts w:ascii="Consolas" w:hAnsi="Consolas"/>
      <w:color w:val="4070A0"/>
      <w:lang w:val="fr-FR"/>
    </w:rPr>
  </w:style>
  <w:style w:customStyle="1" w:styleId="CommentTok" w:type="character">
    <w:name w:val="CommentTok"/>
    <w:basedOn w:val="VerbatimChar"/>
    <w:rPr>
      <w:rFonts w:ascii="Consolas" w:hAnsi="Consolas"/>
      <w:i/>
      <w:color w:val="60A0B0"/>
      <w:lang w:val="fr-FR"/>
    </w:rPr>
  </w:style>
  <w:style w:customStyle="1" w:styleId="OtherTok" w:type="character">
    <w:name w:val="OtherTok"/>
    <w:basedOn w:val="VerbatimChar"/>
    <w:rPr>
      <w:rFonts w:ascii="Consolas" w:hAnsi="Consolas"/>
      <w:color w:val="007020"/>
      <w:lang w:val="fr-FR"/>
    </w:rPr>
  </w:style>
  <w:style w:customStyle="1" w:styleId="AlertTok" w:type="character">
    <w:name w:val="AlertTok"/>
    <w:basedOn w:val="VerbatimChar"/>
    <w:rPr>
      <w:rFonts w:ascii="Consolas" w:hAnsi="Consolas"/>
      <w:b/>
      <w:color w:val="FF0000"/>
      <w:lang w:val="fr-FR"/>
    </w:rPr>
  </w:style>
  <w:style w:customStyle="1" w:styleId="FunctionTok" w:type="character">
    <w:name w:val="FunctionTok"/>
    <w:basedOn w:val="VerbatimChar"/>
    <w:rPr>
      <w:rFonts w:ascii="Consolas" w:hAnsi="Consolas"/>
      <w:color w:val="06287E"/>
      <w:lang w:val="fr-FR"/>
    </w:rPr>
  </w:style>
  <w:style w:customStyle="1" w:styleId="RegionMarkerTok" w:type="character">
    <w:name w:val="RegionMarkerTok"/>
    <w:basedOn w:val="VerbatimChar"/>
    <w:rPr>
      <w:rFonts w:ascii="Consolas" w:hAnsi="Consolas"/>
      <w:lang w:val="fr-FR"/>
    </w:rPr>
  </w:style>
  <w:style w:customStyle="1" w:styleId="ErrorTok" w:type="character">
    <w:name w:val="ErrorTok"/>
    <w:basedOn w:val="VerbatimChar"/>
    <w:rPr>
      <w:rFonts w:ascii="Consolas" w:hAnsi="Consolas"/>
      <w:b/>
      <w:color w:val="FF0000"/>
      <w:lang w:val="fr-FR"/>
    </w:rPr>
  </w:style>
  <w:style w:customStyle="1" w:styleId="NormalTok" w:type="character">
    <w:name w:val="NormalTok"/>
    <w:basedOn w:val="VerbatimChar"/>
    <w:rPr>
      <w:rFonts w:ascii="Consolas" w:hAnsi="Consolas"/>
      <w:lang w:val="fr-FR"/>
    </w:rPr>
  </w:style>
  <w:style w:styleId="Paragraphedeliste" w:type="paragraph">
    <w:name w:val="List Paragraph"/>
    <w:basedOn w:val="Normal"/>
    <w:rsid w:val="007342F2"/>
    <w:pPr>
      <w:numPr>
        <w:numId w:val="15"/>
      </w:numPr>
      <w:ind w:hanging="142" w:left="284"/>
      <w:contextualSpacing/>
    </w:pPr>
  </w:style>
  <w:style w:customStyle="1" w:styleId="CorpsdetexteCar" w:type="character">
    <w:name w:val="Corps de texte Car"/>
    <w:basedOn w:val="Policepardfaut"/>
    <w:link w:val="Corpsdetexte"/>
    <w:rsid w:val="001D314A"/>
    <w:rPr>
      <w:rFonts w:ascii="Hoefler Text" w:hAnsi="Hoefler Text"/>
    </w:rPr>
  </w:style>
  <w:style w:styleId="Grilledutableau" w:type="table">
    <w:name w:val="Table Grid"/>
    <w:basedOn w:val="TableauNormal"/>
    <w:rsid w:val="006D1F28"/>
    <w:pPr>
      <w:spacing w:after="0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ableausimple1" w:type="table">
    <w:name w:val="Plain Table 1"/>
    <w:basedOn w:val="TableauNormal"/>
    <w:rsid w:val="006D1F28"/>
    <w:pPr>
      <w:spacing w:after="0"/>
    </w:pPr>
    <w:tblPr>
      <w:tblStyleRowBandSize w:val="1"/>
      <w:tblStyleColBandSize w:val="1"/>
      <w:tblBorders>
        <w:top w:color="BFBFBF" w:space="0" w:sz="4" w:themeColor="background1" w:themeShade="BF" w:val="single"/>
        <w:left w:color="BFBFBF" w:space="0" w:sz="4" w:themeColor="background1" w:themeShade="BF" w:val="single"/>
        <w:bottom w:color="BFBFBF" w:space="0" w:sz="4" w:themeColor="background1" w:themeShade="BF" w:val="single"/>
        <w:right w:color="BFBFBF" w:space="0" w:sz="4" w:themeColor="background1" w:themeShade="BF" w:val="single"/>
        <w:insideH w:color="BFBFBF" w:space="0" w:sz="4" w:themeColor="background1" w:themeShade="BF" w:val="single"/>
        <w:insideV w:color="BFBFBF" w:space="0" w:sz="4" w:themeColor="background1" w:themeShade="BF" w:val="single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FBFBF" w:space="0" w:sz="4" w:themeColor="background1" w:themeShade="BF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2F2F2" w:themeFill="background1" w:themeFillShade="F2" w:val="clear"/>
      </w:tcPr>
    </w:tblStylePr>
    <w:tblStylePr w:type="band1Horz">
      <w:tblPr/>
      <w:tcPr>
        <w:shd w:color="auto" w:fill="F2F2F2" w:themeFill="background1" w:themeFillShade="F2" w:val="clear"/>
      </w:tcPr>
    </w:tblStyle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color w:val="008000"/>
      <w:b/>
    </w:rPr>
  </w:style>
  <w:style w:type="character" w:customStyle="1" w:styleId="DocumentationTok">
    <w:name w:val="DocumentationTok"/>
    <w:basedOn w:val="VerbatimChar"/>
    <w:rPr>
      <w:color w:val="ba2121"/>
      <w:i/>
    </w:rPr>
  </w:style>
  <w:style w:type="character" w:customStyle="1" w:styleId="AnnotationTok">
    <w:name w:val="AnnotationTok"/>
    <w:basedOn w:val="VerbatimChar"/>
    <w:rPr>
      <w:color w:val="60a0b0"/>
      <w:b/>
      <w:i/>
    </w:rPr>
  </w:style>
  <w:style w:type="character" w:customStyle="1" w:styleId="CommentVarTok">
    <w:name w:val="CommentVarTok"/>
    <w:basedOn w:val="VerbatimChar"/>
    <w:rPr>
      <w:color w:val="60a0b0"/>
      <w:b/>
      <w:i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color w:val="007020"/>
      <w:b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InformationTok">
    <w:name w:val="InformationTok"/>
    <w:basedOn w:val="VerbatimChar"/>
    <w:rPr>
      <w:color w:val="60a0b0"/>
      <w:b/>
      <w:i/>
    </w:rPr>
  </w:style>
  <w:style w:type="character" w:customStyle="1" w:styleId="WarningTok">
    <w:name w:val="WarningTok"/>
    <w:basedOn w:val="VerbatimChar"/>
    <w:rPr>
      <w:color w:val="60a0b0"/>
      <w:b/>
      <w:i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" Target="numbering.xml" /><Relationship Type="http://schemas.openxmlformats.org/officeDocument/2006/relationships/styles" Id="rId2" Target="styles.xml" /><Relationship Type="http://schemas.openxmlformats.org/officeDocument/2006/relationships/settings" Id="rId3" Target="settings.xml" /><Relationship Type="http://schemas.openxmlformats.org/officeDocument/2006/relationships/webSettings" Id="rId4" Target="webSettings.xml" /><Relationship Type="http://schemas.openxmlformats.org/officeDocument/2006/relationships/fontTable" Id="rId5" Target="fontTable.xml" /><Relationship Type="http://schemas.openxmlformats.org/officeDocument/2006/relationships/theme" Id="rId6" Target="theme/theme1.xml" /><Relationship Type="http://schemas.openxmlformats.org/officeDocument/2006/relationships/footnotes" Id="rId7" Target="footnotes.xml" /><Relationship Type="http://schemas.openxmlformats.org/officeDocument/2006/relationships/comments" Id="rId8" Target="comments.xml" /><Relationship Type="http://schemas.openxmlformats.org/officeDocument/2006/relationships/image" Id="rId20" Target="media/rId20.png" /><Relationship Type="http://schemas.openxmlformats.org/officeDocument/2006/relationships/image" Id="rId24" Target="media/rId24.png" /><Relationship Type="http://schemas.openxmlformats.org/officeDocument/2006/relationships/image" Id="rId28" Target="media/rId28.png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8</Pages>
  <Words>812</Words>
  <Characters>4467</Characters>
  <Application>Microsoft Office Word</Application>
  <DocSecurity>0</DocSecurity>
  <Lines>37</Lines>
  <Paragraphs>10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Pandoc Markdown Example Document</vt:lpstr>
    </vt:vector>
  </TitlesOfParts>
  <Company/>
  <LinksUpToDate>false</LinksUpToDate>
  <CharactersWithSpaces>5269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09 · Angmar à d'Autres Epoques</dc:title>
  <dc:creator/>
  <dc:language/>
  <cp:keywords/>
  <dcterms:created xsi:type="dcterms:W3CDTF">2023-11-24T06:06:18Z</dcterms:created>
  <dcterms:modified xsi:type="dcterms:W3CDTF">2023-11-24T06:06:18Z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enerator">
    <vt:lpwstr>pandoc</vt:lpwstr>
  </property>
  <property fmtid="{D5CDD505-2E9C-101B-9397-08002B2CF9AE}" pid="3" name="viewport">
    <vt:lpwstr>width=device-width, initial-scale=1.0, user-scalable=yes</vt:lpwstr>
  </property>
</Properties>
</file>